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046D" w:rsidRDefault="00D34638" w:rsidP="00D34638">
      <w:pPr>
        <w:tabs>
          <w:tab w:val="left" w:pos="2160"/>
        </w:tabs>
        <w:rPr>
          <w:rFonts w:ascii="Arial" w:hAnsi="Arial" w:cs="Arial"/>
          <w:b/>
          <w:bCs/>
          <w:sz w:val="24"/>
          <w:szCs w:val="24"/>
          <w:lang w:val="en-US"/>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973E61" w:rsidRPr="00973E61">
        <w:rPr>
          <w:rFonts w:ascii="Arial" w:eastAsia="宋体" w:hAnsi="Arial" w:cs="Arial"/>
          <w:b/>
          <w:sz w:val="24"/>
          <w:szCs w:val="24"/>
          <w:lang w:val="en-US" w:eastAsia="zh-CN"/>
        </w:rPr>
        <w:t xml:space="preserve">R4-2412726 </w:t>
      </w:r>
      <w:r w:rsidRPr="00DF36BC">
        <w:rPr>
          <w:rFonts w:ascii="Arial" w:eastAsia="宋体" w:hAnsi="Arial" w:cs="Arial"/>
          <w:b/>
          <w:sz w:val="24"/>
          <w:szCs w:val="24"/>
          <w:lang w:val="en-US" w:eastAsia="zh-CN"/>
        </w:rPr>
        <w:t>Maastricht</w:t>
      </w:r>
      <w:r w:rsidRPr="00DF36BC">
        <w:rPr>
          <w:rFonts w:ascii="Arial" w:eastAsia="宋体" w:hAnsi="Arial" w:cs="Arial" w:hint="eastAsia"/>
          <w:b/>
          <w:sz w:val="24"/>
          <w:szCs w:val="24"/>
          <w:lang w:val="en-US" w:eastAsia="zh-CN"/>
        </w:rPr>
        <w:t>,</w:t>
      </w:r>
      <w:r w:rsidRPr="00DF36BC">
        <w:rPr>
          <w:rFonts w:ascii="Arial" w:eastAsia="宋体" w:hAnsi="Arial" w:cs="Arial"/>
          <w:b/>
          <w:sz w:val="24"/>
          <w:szCs w:val="24"/>
          <w:lang w:val="en-US" w:eastAsia="zh-CN"/>
        </w:rPr>
        <w:t xml:space="preserve"> Netherlands, 19</w:t>
      </w:r>
      <w:r w:rsidRPr="00DF36BC">
        <w:rPr>
          <w:rFonts w:ascii="Arial" w:eastAsia="宋体" w:hAnsi="Arial" w:cs="Arial"/>
          <w:b/>
          <w:sz w:val="24"/>
          <w:szCs w:val="24"/>
          <w:vertAlign w:val="superscript"/>
          <w:lang w:val="en-US" w:eastAsia="zh-CN"/>
        </w:rPr>
        <w:t>th</w:t>
      </w:r>
      <w:r w:rsidRPr="00DF36BC">
        <w:rPr>
          <w:rFonts w:ascii="Arial" w:eastAsia="宋体" w:hAnsi="Arial" w:cs="Arial"/>
          <w:b/>
          <w:sz w:val="24"/>
          <w:szCs w:val="24"/>
          <w:lang w:val="en-US" w:eastAsia="zh-CN"/>
        </w:rPr>
        <w:t xml:space="preserve"> – 23</w:t>
      </w:r>
      <w:r w:rsidRPr="00DF36BC">
        <w:rPr>
          <w:rFonts w:ascii="Arial" w:eastAsia="宋体" w:hAnsi="Arial" w:cs="Arial"/>
          <w:b/>
          <w:sz w:val="24"/>
          <w:szCs w:val="24"/>
          <w:vertAlign w:val="superscript"/>
          <w:lang w:val="en-US" w:eastAsia="zh-CN"/>
        </w:rPr>
        <w:t>rd</w:t>
      </w:r>
      <w:r w:rsidRPr="00DF36BC">
        <w:rPr>
          <w:rFonts w:ascii="Arial" w:eastAsia="宋体" w:hAnsi="Arial" w:cs="Arial"/>
          <w:b/>
          <w:sz w:val="24"/>
          <w:szCs w:val="24"/>
          <w:lang w:val="en-US" w:eastAsia="zh-CN"/>
        </w:rPr>
        <w:t xml:space="preserve"> August,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973E61">
        <w:rPr>
          <w:rFonts w:ascii="Arial" w:hAnsi="Arial" w:cs="Arial"/>
          <w:b/>
          <w:bCs/>
          <w:sz w:val="24"/>
          <w:szCs w:val="24"/>
          <w:lang w:val="en-US"/>
        </w:rPr>
        <w:t>8.8.2.2</w:t>
      </w:r>
      <w:bookmarkStart w:id="3" w:name="_GoBack"/>
      <w:bookmarkEnd w:id="3"/>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B35466">
        <w:rPr>
          <w:rFonts w:ascii="Arial" w:hAnsi="Arial" w:cs="Arial"/>
          <w:b/>
          <w:bCs/>
          <w:sz w:val="24"/>
          <w:szCs w:val="24"/>
          <w:lang w:val="en-US"/>
        </w:rPr>
        <w:t>Initial discussion on</w:t>
      </w:r>
      <w:r w:rsidR="000212E2">
        <w:rPr>
          <w:rFonts w:ascii="Arial" w:hAnsi="Arial" w:cs="Arial"/>
          <w:b/>
          <w:bCs/>
          <w:sz w:val="24"/>
          <w:szCs w:val="24"/>
          <w:lang w:val="en-US"/>
        </w:rPr>
        <w:t xml:space="preserve"> </w:t>
      </w:r>
      <w:r w:rsidR="00D34638">
        <w:rPr>
          <w:rFonts w:ascii="Arial" w:hAnsi="Arial" w:cs="Arial"/>
          <w:b/>
          <w:bCs/>
          <w:sz w:val="24"/>
          <w:szCs w:val="24"/>
          <w:lang w:val="en-US"/>
        </w:rPr>
        <w:t>HPUE NTN</w:t>
      </w:r>
      <w:r w:rsidR="0029517B">
        <w:rPr>
          <w:rFonts w:ascii="Arial" w:hAnsi="Arial" w:cs="Arial"/>
          <w:b/>
          <w:bCs/>
          <w:sz w:val="24"/>
          <w:szCs w:val="24"/>
          <w:lang w:val="en-US"/>
        </w:rPr>
        <w:t xml:space="preserve"> </w:t>
      </w:r>
      <w:r w:rsidR="00F52939">
        <w:rPr>
          <w:rFonts w:ascii="Arial" w:hAnsi="Arial" w:cs="Arial"/>
          <w:b/>
          <w:bCs/>
          <w:sz w:val="24"/>
          <w:szCs w:val="24"/>
          <w:lang w:val="en-US"/>
        </w:rPr>
        <w:t>T</w:t>
      </w:r>
      <w:r w:rsidR="0029517B">
        <w:rPr>
          <w:rFonts w:ascii="Arial" w:hAnsi="Arial" w:cs="Arial"/>
          <w:b/>
          <w:bCs/>
          <w:sz w:val="24"/>
          <w:szCs w:val="24"/>
          <w:lang w:val="en-US"/>
        </w:rPr>
        <w:t>X requirement</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D15AE9">
      <w:pPr>
        <w:ind w:left="48"/>
        <w:jc w:val="both"/>
        <w:rPr>
          <w:rFonts w:eastAsiaTheme="minorEastAsia"/>
          <w:lang w:eastAsia="zh-CN"/>
        </w:rPr>
      </w:pPr>
      <w:r>
        <w:t>During the RAN</w:t>
      </w:r>
      <w:r w:rsidR="00B37E3F">
        <w:t>#1</w:t>
      </w:r>
      <w:r w:rsidR="009B791A">
        <w:t>03</w:t>
      </w:r>
      <w:r w:rsidR="00B37E3F">
        <w:t xml:space="preserve"> meeting, the Re</w:t>
      </w:r>
      <w:r w:rsidR="00F50DC1">
        <w:t>l</w:t>
      </w:r>
      <w:r w:rsidR="00B37E3F">
        <w:t xml:space="preserve">-19 </w:t>
      </w:r>
      <w:r w:rsidR="00F50DC1">
        <w:t>NTN</w:t>
      </w:r>
      <w:r w:rsidR="00B37E3F">
        <w:t xml:space="preserve"> WID [1] has been agreed. The </w:t>
      </w:r>
      <w:r w:rsidR="001B53FF">
        <w:t>HPUE for NTN has been listed as one of the three objectives for the WID</w:t>
      </w:r>
      <w:r w:rsidR="00677AEF">
        <w:t>.</w:t>
      </w:r>
      <w:r w:rsidR="001B53FF">
        <w:t xml:space="preserve"> In this paper we try to give some initial discussion on the HPUE NTN </w:t>
      </w:r>
      <w:r w:rsidR="00B3519A">
        <w:t>T</w:t>
      </w:r>
      <w:r w:rsidR="0029517B">
        <w:t>X requirement.</w:t>
      </w:r>
    </w:p>
    <w:p w:rsidR="003A046D" w:rsidRDefault="00986414">
      <w:pPr>
        <w:pStyle w:val="1"/>
        <w:numPr>
          <w:ilvl w:val="0"/>
          <w:numId w:val="2"/>
        </w:numPr>
      </w:pPr>
      <w:r>
        <w:t>Discussion</w:t>
      </w:r>
    </w:p>
    <w:p w:rsidR="00677AEF" w:rsidRDefault="00677AEF" w:rsidP="00677AEF">
      <w:pPr>
        <w:rPr>
          <w:rFonts w:eastAsia="等线"/>
          <w:lang w:eastAsia="zh-CN"/>
        </w:rPr>
      </w:pPr>
      <w:r>
        <w:rPr>
          <w:rFonts w:eastAsiaTheme="minorEastAsia"/>
          <w:lang w:eastAsia="zh-CN"/>
        </w:rPr>
        <w:t xml:space="preserve">The objectives of Rel-19 </w:t>
      </w:r>
      <w:r w:rsidR="00975A49">
        <w:rPr>
          <w:rFonts w:eastAsiaTheme="minorEastAsia"/>
          <w:lang w:eastAsia="zh-CN"/>
        </w:rPr>
        <w:t>NTN</w:t>
      </w:r>
      <w:r>
        <w:rPr>
          <w:rFonts w:eastAsiaTheme="minorEastAsia"/>
          <w:lang w:eastAsia="zh-CN"/>
        </w:rPr>
        <w:t xml:space="preserve"> WID are listed here for information. </w:t>
      </w:r>
    </w:p>
    <w:p w:rsidR="00677AEF" w:rsidRDefault="00677AEF" w:rsidP="00677AEF">
      <w:pPr>
        <w:rPr>
          <w:rFonts w:eastAsia="等线"/>
          <w:lang w:eastAsia="zh-CN"/>
        </w:rPr>
      </w:pPr>
      <w:r>
        <w:rPr>
          <w:rFonts w:eastAsia="等线" w:hint="eastAsia"/>
          <w:noProof/>
          <w:lang w:eastAsia="zh-CN"/>
        </w:rPr>
        <mc:AlternateContent>
          <mc:Choice Requires="wps">
            <w:drawing>
              <wp:inline distT="0" distB="0" distL="0" distR="0" wp14:anchorId="18101136" wp14:editId="3B711102">
                <wp:extent cx="6599582" cy="3923732"/>
                <wp:effectExtent l="0" t="0" r="24130" b="19685"/>
                <wp:docPr id="1" name="文本框 1"/>
                <wp:cNvGraphicFramePr/>
                <a:graphic xmlns:a="http://schemas.openxmlformats.org/drawingml/2006/main">
                  <a:graphicData uri="http://schemas.microsoft.com/office/word/2010/wordprocessingShape">
                    <wps:wsp>
                      <wps:cNvSpPr txBox="1"/>
                      <wps:spPr>
                        <a:xfrm>
                          <a:off x="0" y="0"/>
                          <a:ext cx="6599582" cy="3923732"/>
                        </a:xfrm>
                        <a:prstGeom prst="rect">
                          <a:avLst/>
                        </a:prstGeom>
                        <a:solidFill>
                          <a:schemeClr val="lt1"/>
                        </a:solidFill>
                        <a:ln w="6350">
                          <a:solidFill>
                            <a:prstClr val="black"/>
                          </a:solidFill>
                        </a:ln>
                      </wps:spPr>
                      <wps:txbx>
                        <w:txbxContent>
                          <w:p w:rsidR="00975A49" w:rsidRPr="00D9611F" w:rsidRDefault="00975A49" w:rsidP="00975A49">
                            <w:pPr>
                              <w:jc w:val="both"/>
                              <w:rPr>
                                <w:lang w:eastAsia="zh-CN"/>
                              </w:rPr>
                            </w:pPr>
                            <w:r w:rsidRPr="00D9611F">
                              <w:rPr>
                                <w:b/>
                              </w:rPr>
                              <w:t>High power UE (HPUE) for NTN</w:t>
                            </w:r>
                          </w:p>
                          <w:p w:rsidR="00975A49" w:rsidRPr="00D9611F" w:rsidRDefault="00975A49" w:rsidP="00975A49">
                            <w:pPr>
                              <w:pStyle w:val="afc"/>
                              <w:widowControl w:val="0"/>
                              <w:numPr>
                                <w:ilvl w:val="0"/>
                                <w:numId w:val="9"/>
                              </w:numPr>
                              <w:overflowPunct/>
                              <w:autoSpaceDE/>
                              <w:autoSpaceDN/>
                              <w:adjustRightInd/>
                              <w:spacing w:after="0"/>
                              <w:ind w:firstLineChars="0"/>
                              <w:textAlignment w:val="auto"/>
                            </w:pPr>
                            <w:r w:rsidRPr="00D9611F">
                              <w:t>Conduct the coexistence analysis based on TR 38.863 for the above example bands and corresponding power classes</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Evaluate the impact on the uplink performance of TN (Terrestrial network)</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Example bands include bands n256 and 256, n255 and 255</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PC2, PC1.5 (for NR-NTN only) and PC1 will be evaluated for ACLR and ACS</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For NR-NTN and IoT-NTN: coexistence studies shall be carried out under</w:t>
                            </w:r>
                            <w:r>
                              <w:t xml:space="preserve"> the same conditions, including</w:t>
                            </w:r>
                            <w:r w:rsidRPr="00D9611F">
                              <w:t xml:space="preserve"> geographical separation between NTN UE and Terrestrial Networks (TN), as the co-existence studies in Rel-17 and Rel-18</w:t>
                            </w:r>
                          </w:p>
                          <w:p w:rsidR="00975A49" w:rsidRPr="00D9611F" w:rsidRDefault="00975A49" w:rsidP="00975A49">
                            <w:pPr>
                              <w:pStyle w:val="afc"/>
                              <w:widowControl w:val="0"/>
                              <w:numPr>
                                <w:ilvl w:val="0"/>
                                <w:numId w:val="9"/>
                              </w:numPr>
                              <w:overflowPunct/>
                              <w:autoSpaceDE/>
                              <w:autoSpaceDN/>
                              <w:adjustRightInd/>
                              <w:spacing w:after="0"/>
                              <w:ind w:firstLineChars="0"/>
                              <w:textAlignment w:val="auto"/>
                            </w:pPr>
                            <w:r w:rsidRPr="00D9611F">
                              <w:t xml:space="preserve">Specify high power UE (HPUE) for NR-NTN (Non-Terrestrial Networks) and IoT-NTN (NB-IoT and </w:t>
                            </w:r>
                            <w:proofErr w:type="spellStart"/>
                            <w:r w:rsidRPr="00D9611F">
                              <w:t>eMTC</w:t>
                            </w:r>
                            <w:proofErr w:type="spellEnd"/>
                            <w:r w:rsidRPr="00D9611F">
                              <w:t xml:space="preserve"> based NTN) in FR1-NTN bands and the corresponding LTE NTN bands for the single uplink (UL) carrier scenario</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Support UE with power class 2 (PC2, 26 dBm) that applies to both handheld and non-handheld based on the co-existence study.</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Support other power classes based on the co-existence and feasibility study</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Non-</w:t>
                            </w:r>
                            <w:proofErr w:type="gramStart"/>
                            <w:r w:rsidRPr="00D9611F">
                              <w:t>hand held</w:t>
                            </w:r>
                            <w:proofErr w:type="gramEnd"/>
                            <w:r w:rsidRPr="00D9611F">
                              <w:t xml:space="preserve"> UE is prioritized</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Specify RF requirements for all considered power classes for NR-NTN and IoT-NTN in FR1-NTN bands and the corresponding LTE NTN bands</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Necessary Tx requirements, at least including</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Investigate and if necessary, specify the solution to address potential SAR (Specific Absorption Rate restriction) requirements for handheld UE</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Specify MPR and A-MPR for the example bands considering the regulation for the corresponding bands, if necessary</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Necessary Rx requirements, at least including</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Specify the RSD requirements on the example bands, if necessary</w:t>
                            </w:r>
                          </w:p>
                          <w:p w:rsidR="00975A49" w:rsidRPr="00D9611F" w:rsidRDefault="00975A49" w:rsidP="00975A49">
                            <w:pPr>
                              <w:pStyle w:val="afc"/>
                              <w:widowControl w:val="0"/>
                              <w:numPr>
                                <w:ilvl w:val="0"/>
                                <w:numId w:val="9"/>
                              </w:numPr>
                              <w:overflowPunct/>
                              <w:autoSpaceDE/>
                              <w:autoSpaceDN/>
                              <w:adjustRightInd/>
                              <w:ind w:firstLineChars="0"/>
                              <w:jc w:val="both"/>
                              <w:textAlignment w:val="auto"/>
                            </w:pPr>
                            <w:r w:rsidRPr="00D9611F">
                              <w:t xml:space="preserve">Specify the necessary </w:t>
                            </w:r>
                            <w:proofErr w:type="spellStart"/>
                            <w:r w:rsidRPr="00D9611F">
                              <w:t>signaling</w:t>
                            </w:r>
                            <w:proofErr w:type="spellEnd"/>
                            <w:r w:rsidRPr="00D9611F">
                              <w:t xml:space="preserve"> to support the above objectives</w:t>
                            </w:r>
                          </w:p>
                          <w:p w:rsidR="00677AEF" w:rsidRPr="00975A49" w:rsidRDefault="00677AEF" w:rsidP="00677AEF"/>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8101136" id="_x0000_t202" coordsize="21600,21600" o:spt="202" path="m,l,21600r21600,l21600,xe">
                <v:stroke joinstyle="miter"/>
                <v:path gradientshapeok="t" o:connecttype="rect"/>
              </v:shapetype>
              <v:shape id="文本框 1" o:spid="_x0000_s1026" type="#_x0000_t202" style="width:519.65pt;height:308.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" fillcolor="white [3201]" strokeweight=".5pt">
                <v:textbox>
                  <w:txbxContent>
                    <w:p w:rsidR="00975A49" w:rsidRPr="00D9611F" w:rsidRDefault="00975A49" w:rsidP="00975A49">
                      <w:pPr>
                        <w:jc w:val="both"/>
                        <w:rPr>
                          <w:lang w:eastAsia="zh-CN"/>
                        </w:rPr>
                      </w:pPr>
                      <w:r w:rsidRPr="00D9611F">
                        <w:rPr>
                          <w:b/>
                        </w:rPr>
                        <w:t>High power UE (HPUE) for NTN</w:t>
                      </w:r>
                    </w:p>
                    <w:p w:rsidR="00975A49" w:rsidRPr="00D9611F" w:rsidRDefault="00975A49" w:rsidP="00975A49">
                      <w:pPr>
                        <w:pStyle w:val="afc"/>
                        <w:widowControl w:val="0"/>
                        <w:numPr>
                          <w:ilvl w:val="0"/>
                          <w:numId w:val="9"/>
                        </w:numPr>
                        <w:overflowPunct/>
                        <w:autoSpaceDE/>
                        <w:autoSpaceDN/>
                        <w:adjustRightInd/>
                        <w:spacing w:after="0"/>
                        <w:ind w:firstLineChars="0"/>
                        <w:textAlignment w:val="auto"/>
                      </w:pPr>
                      <w:r w:rsidRPr="00D9611F">
                        <w:t>Conduct the coexistence analysis based on TR 38.863 for the above example bands and corresponding power classes</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Evaluate the impact on the uplink performance of TN (Terrestrial network)</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Example bands include bands n256 and 256, n255 and 255</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PC2, PC1.5 (for NR-NTN only) and PC1 will be evaluated for ACLR and ACS</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For NR-NTN and IoT-NTN: coexistence studies shall be carried out under</w:t>
                      </w:r>
                      <w:r>
                        <w:t xml:space="preserve"> the same conditions, including</w:t>
                      </w:r>
                      <w:r w:rsidRPr="00D9611F">
                        <w:t xml:space="preserve"> geographical separation between NTN UE and Terrestrial Networks (TN), as the co-existence studies in Rel-17 and Rel-18</w:t>
                      </w:r>
                    </w:p>
                    <w:p w:rsidR="00975A49" w:rsidRPr="00D9611F" w:rsidRDefault="00975A49" w:rsidP="00975A49">
                      <w:pPr>
                        <w:pStyle w:val="afc"/>
                        <w:widowControl w:val="0"/>
                        <w:numPr>
                          <w:ilvl w:val="0"/>
                          <w:numId w:val="9"/>
                        </w:numPr>
                        <w:overflowPunct/>
                        <w:autoSpaceDE/>
                        <w:autoSpaceDN/>
                        <w:adjustRightInd/>
                        <w:spacing w:after="0"/>
                        <w:ind w:firstLineChars="0"/>
                        <w:textAlignment w:val="auto"/>
                      </w:pPr>
                      <w:r w:rsidRPr="00D9611F">
                        <w:t xml:space="preserve">Specify high power UE (HPUE) for NR-NTN (Non-Terrestrial Networks) and IoT-NTN (NB-IoT and </w:t>
                      </w:r>
                      <w:proofErr w:type="spellStart"/>
                      <w:r w:rsidRPr="00D9611F">
                        <w:t>eMTC</w:t>
                      </w:r>
                      <w:proofErr w:type="spellEnd"/>
                      <w:r w:rsidRPr="00D9611F">
                        <w:t xml:space="preserve"> based NTN) in FR1-NTN bands and the corresponding LTE NTN bands for the single uplink (UL) carrier scenario</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Support UE with power class 2 (PC2, 26 dBm) that applies to both handheld and non-handheld based on the co-existence study.</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Support other power classes based on the co-existence and feasibility study</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Non-</w:t>
                      </w:r>
                      <w:proofErr w:type="gramStart"/>
                      <w:r w:rsidRPr="00D9611F">
                        <w:t>hand held</w:t>
                      </w:r>
                      <w:proofErr w:type="gramEnd"/>
                      <w:r w:rsidRPr="00D9611F">
                        <w:t xml:space="preserve"> UE is prioritized</w:t>
                      </w:r>
                    </w:p>
                    <w:p w:rsidR="00975A49" w:rsidRPr="00D9611F" w:rsidRDefault="00975A49" w:rsidP="00975A49">
                      <w:pPr>
                        <w:pStyle w:val="afc"/>
                        <w:widowControl w:val="0"/>
                        <w:numPr>
                          <w:ilvl w:val="1"/>
                          <w:numId w:val="9"/>
                        </w:numPr>
                        <w:overflowPunct/>
                        <w:autoSpaceDE/>
                        <w:autoSpaceDN/>
                        <w:adjustRightInd/>
                        <w:spacing w:after="0"/>
                        <w:ind w:firstLineChars="0"/>
                        <w:textAlignment w:val="auto"/>
                      </w:pPr>
                      <w:r w:rsidRPr="00D9611F">
                        <w:t>Specify RF requirements for all considered power classes for NR-NTN and IoT-NTN in FR1-NTN bands and the corresponding LTE NTN bands</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Necessary Tx requirements, at least including</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Investigate and if necessary, specify the solution to address potential SAR (Specific Absorption Rate restriction) requirements for handheld UE</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Specify MPR and A-MPR for the example bands considering the regulation for the corresponding bands, if necessary</w:t>
                      </w:r>
                    </w:p>
                    <w:p w:rsidR="00975A49" w:rsidRPr="00D9611F" w:rsidRDefault="00975A49" w:rsidP="00975A49">
                      <w:pPr>
                        <w:pStyle w:val="afc"/>
                        <w:widowControl w:val="0"/>
                        <w:numPr>
                          <w:ilvl w:val="2"/>
                          <w:numId w:val="9"/>
                        </w:numPr>
                        <w:overflowPunct/>
                        <w:autoSpaceDE/>
                        <w:autoSpaceDN/>
                        <w:adjustRightInd/>
                        <w:spacing w:after="0"/>
                        <w:ind w:firstLineChars="0"/>
                        <w:textAlignment w:val="auto"/>
                      </w:pPr>
                      <w:r w:rsidRPr="00D9611F">
                        <w:t xml:space="preserve">Necessary </w:t>
                      </w:r>
                      <w:bookmarkStart w:id="4" w:name="_GoBack"/>
                      <w:r w:rsidRPr="00D9611F">
                        <w:t>Rx</w:t>
                      </w:r>
                      <w:bookmarkEnd w:id="4"/>
                      <w:r w:rsidRPr="00D9611F">
                        <w:t xml:space="preserve"> requirements, at least including</w:t>
                      </w:r>
                    </w:p>
                    <w:p w:rsidR="00975A49" w:rsidRPr="00D9611F" w:rsidRDefault="00975A49" w:rsidP="00975A49">
                      <w:pPr>
                        <w:pStyle w:val="afc"/>
                        <w:widowControl w:val="0"/>
                        <w:numPr>
                          <w:ilvl w:val="3"/>
                          <w:numId w:val="9"/>
                        </w:numPr>
                        <w:overflowPunct/>
                        <w:autoSpaceDE/>
                        <w:autoSpaceDN/>
                        <w:adjustRightInd/>
                        <w:spacing w:after="0"/>
                        <w:ind w:firstLineChars="0"/>
                        <w:textAlignment w:val="auto"/>
                      </w:pPr>
                      <w:r w:rsidRPr="00D9611F">
                        <w:t>Specify the RSD requirements on the example bands, if necessary</w:t>
                      </w:r>
                    </w:p>
                    <w:p w:rsidR="00975A49" w:rsidRPr="00D9611F" w:rsidRDefault="00975A49" w:rsidP="00975A49">
                      <w:pPr>
                        <w:pStyle w:val="afc"/>
                        <w:widowControl w:val="0"/>
                        <w:numPr>
                          <w:ilvl w:val="0"/>
                          <w:numId w:val="9"/>
                        </w:numPr>
                        <w:overflowPunct/>
                        <w:autoSpaceDE/>
                        <w:autoSpaceDN/>
                        <w:adjustRightInd/>
                        <w:ind w:firstLineChars="0"/>
                        <w:jc w:val="both"/>
                        <w:textAlignment w:val="auto"/>
                      </w:pPr>
                      <w:r w:rsidRPr="00D9611F">
                        <w:t xml:space="preserve">Specify the necessary </w:t>
                      </w:r>
                      <w:proofErr w:type="spellStart"/>
                      <w:r w:rsidRPr="00D9611F">
                        <w:t>signaling</w:t>
                      </w:r>
                      <w:proofErr w:type="spellEnd"/>
                      <w:r w:rsidRPr="00D9611F">
                        <w:t xml:space="preserve"> to support the above objectives</w:t>
                      </w:r>
                    </w:p>
                    <w:p w:rsidR="00677AEF" w:rsidRPr="00975A49" w:rsidRDefault="00677AEF" w:rsidP="00677AEF"/>
                  </w:txbxContent>
                </v:textbox>
                <w10:anchorlock/>
              </v:shape>
            </w:pict>
          </mc:Fallback>
        </mc:AlternateContent>
      </w:r>
    </w:p>
    <w:p w:rsidR="000E55B5" w:rsidRDefault="00931B7D" w:rsidP="00E55F25">
      <w:pPr>
        <w:rPr>
          <w:rFonts w:eastAsiaTheme="minorEastAsia"/>
          <w:lang w:eastAsia="zh-CN"/>
        </w:rPr>
      </w:pPr>
      <w:r>
        <w:rPr>
          <w:rFonts w:eastAsiaTheme="minorEastAsia" w:hint="eastAsia"/>
          <w:lang w:eastAsia="zh-CN"/>
        </w:rPr>
        <w:t>F</w:t>
      </w:r>
      <w:r>
        <w:rPr>
          <w:rFonts w:eastAsiaTheme="minorEastAsia"/>
          <w:lang w:eastAsia="zh-CN"/>
        </w:rPr>
        <w:t xml:space="preserve">or the TX requirement with higher power class, the MPR and A-MPR for example band should be specified. </w:t>
      </w:r>
      <w:proofErr w:type="gramStart"/>
      <w:r>
        <w:rPr>
          <w:rFonts w:eastAsiaTheme="minorEastAsia"/>
          <w:lang w:eastAsia="zh-CN"/>
        </w:rPr>
        <w:t>Also</w:t>
      </w:r>
      <w:proofErr w:type="gramEnd"/>
      <w:r>
        <w:rPr>
          <w:rFonts w:eastAsiaTheme="minorEastAsia"/>
          <w:lang w:eastAsia="zh-CN"/>
        </w:rPr>
        <w:t xml:space="preserve"> the ACLR requirement currently for PC2 UE as 31dB will need to be verified during the co-existence study. For other TX requirements, they are not related to the power class of the NTN UE.</w:t>
      </w:r>
    </w:p>
    <w:p w:rsidR="00931B7D" w:rsidRPr="002A71EE" w:rsidRDefault="00931B7D" w:rsidP="00E55F25">
      <w:pPr>
        <w:rPr>
          <w:rFonts w:eastAsiaTheme="minorEastAsia"/>
          <w:b/>
          <w:lang w:eastAsia="zh-CN"/>
        </w:rPr>
      </w:pPr>
      <w:r w:rsidRPr="002A71EE">
        <w:rPr>
          <w:rFonts w:eastAsiaTheme="minorEastAsia" w:hint="eastAsia"/>
          <w:b/>
          <w:lang w:eastAsia="zh-CN"/>
        </w:rPr>
        <w:t>P</w:t>
      </w:r>
      <w:r w:rsidRPr="002A71EE">
        <w:rPr>
          <w:rFonts w:eastAsiaTheme="minorEastAsia"/>
          <w:b/>
          <w:lang w:eastAsia="zh-CN"/>
        </w:rPr>
        <w:t xml:space="preserve">roposal 1: </w:t>
      </w:r>
      <w:r w:rsidR="002A71EE" w:rsidRPr="002A71EE">
        <w:rPr>
          <w:rFonts w:eastAsiaTheme="minorEastAsia"/>
          <w:b/>
          <w:lang w:eastAsia="zh-CN"/>
        </w:rPr>
        <w:t>For the PC2 NTN, transmitter power including output power and MPR/A-MPR as well as the ACLR requirement need to be updated compared to PC3 NTN UE RF requirement.</w:t>
      </w:r>
    </w:p>
    <w:p w:rsidR="00931B7D" w:rsidRDefault="002A71EE" w:rsidP="00E55F25">
      <w:pPr>
        <w:rPr>
          <w:rFonts w:eastAsiaTheme="minorEastAsia"/>
          <w:lang w:eastAsia="zh-CN"/>
        </w:rPr>
      </w:pPr>
      <w:r>
        <w:rPr>
          <w:rFonts w:eastAsiaTheme="minorEastAsia" w:hint="eastAsia"/>
          <w:lang w:eastAsia="zh-CN"/>
        </w:rPr>
        <w:t>F</w:t>
      </w:r>
      <w:r>
        <w:rPr>
          <w:rFonts w:eastAsiaTheme="minorEastAsia"/>
          <w:lang w:eastAsia="zh-CN"/>
        </w:rPr>
        <w:t xml:space="preserve">or the SAR issue for handheld UE, currently, 3GPP has introduced the uplink duty cycle and higher power class than default power class. From NTN UE perspective, especially for current usage of NTN UE, the most </w:t>
      </w:r>
      <w:r w:rsidR="00F52939">
        <w:rPr>
          <w:rFonts w:eastAsiaTheme="minorEastAsia"/>
          <w:lang w:eastAsia="zh-CN"/>
        </w:rPr>
        <w:t xml:space="preserve">important and feasible use case is message and phone call. In such case, a large duty cycle is easy to maintain while not much influencing the service quality. Furthermore, with the spirit of introducing the higher power class, if contradictorily, larger P-MPR is used </w:t>
      </w:r>
      <w:r w:rsidR="00F52939">
        <w:rPr>
          <w:rFonts w:eastAsiaTheme="minorEastAsia"/>
          <w:lang w:eastAsia="zh-CN"/>
        </w:rPr>
        <w:lastRenderedPageBreak/>
        <w:t>to fulfil the SAR requirement, this will make the HPUE feature unreasonable. In such case, we believe the duty cycle solution is a much better way which can ensure the SAR regulation as well as the service quality and the coverage. However, as also discussed in other places, the duty cycle method needs to fulfil the regulation and this needs more investigation.</w:t>
      </w:r>
    </w:p>
    <w:p w:rsidR="00F52939" w:rsidRPr="00F52939" w:rsidRDefault="00F52939" w:rsidP="00E55F25">
      <w:pPr>
        <w:rPr>
          <w:rFonts w:eastAsiaTheme="minorEastAsia"/>
          <w:b/>
          <w:lang w:eastAsia="zh-CN"/>
        </w:rPr>
      </w:pPr>
      <w:r w:rsidRPr="00F52939">
        <w:rPr>
          <w:rFonts w:eastAsiaTheme="minorEastAsia" w:hint="eastAsia"/>
          <w:b/>
          <w:lang w:eastAsia="zh-CN"/>
        </w:rPr>
        <w:t>P</w:t>
      </w:r>
      <w:r w:rsidRPr="00F52939">
        <w:rPr>
          <w:rFonts w:eastAsiaTheme="minorEastAsia"/>
          <w:b/>
          <w:lang w:eastAsia="zh-CN"/>
        </w:rPr>
        <w:t>roposal 2: Further investigate the duty cycle method for regulation of NTN hand-held UE.</w:t>
      </w:r>
    </w:p>
    <w:p w:rsidR="003A046D" w:rsidRDefault="00986414">
      <w:pPr>
        <w:pStyle w:val="1"/>
        <w:ind w:left="0" w:firstLine="0"/>
      </w:pPr>
      <w:r>
        <w:t>3</w:t>
      </w:r>
      <w:r>
        <w:tab/>
        <w:t>Conclusions</w:t>
      </w:r>
    </w:p>
    <w:p w:rsidR="00DF15C4" w:rsidRPr="00DF15C4" w:rsidRDefault="00DF15C4" w:rsidP="00DF15C4">
      <w:pPr>
        <w:rPr>
          <w:rFonts w:eastAsiaTheme="minorEastAsia"/>
          <w:lang w:eastAsia="zh-CN"/>
        </w:rPr>
      </w:pPr>
      <w:r>
        <w:rPr>
          <w:rFonts w:eastAsiaTheme="minorEastAsia" w:hint="eastAsia"/>
          <w:lang w:eastAsia="zh-CN"/>
        </w:rPr>
        <w:t>I</w:t>
      </w:r>
      <w:r>
        <w:rPr>
          <w:rFonts w:eastAsiaTheme="minorEastAsia"/>
          <w:lang w:eastAsia="zh-CN"/>
        </w:rPr>
        <w:t xml:space="preserve">n this paper, we give initial discussion on the </w:t>
      </w:r>
      <w:r w:rsidR="00F52939">
        <w:rPr>
          <w:rFonts w:eastAsiaTheme="minorEastAsia"/>
          <w:lang w:eastAsia="zh-CN"/>
        </w:rPr>
        <w:t>T</w:t>
      </w:r>
      <w:r>
        <w:rPr>
          <w:rFonts w:eastAsiaTheme="minorEastAsia"/>
          <w:lang w:eastAsia="zh-CN"/>
        </w:rPr>
        <w:t>X requirement for HPUE NTN. The proposals are as following:</w:t>
      </w:r>
    </w:p>
    <w:p w:rsidR="00F52939" w:rsidRPr="002A71EE" w:rsidRDefault="00F52939" w:rsidP="00F52939">
      <w:pPr>
        <w:rPr>
          <w:rFonts w:eastAsiaTheme="minorEastAsia"/>
          <w:b/>
          <w:lang w:eastAsia="zh-CN"/>
        </w:rPr>
      </w:pPr>
      <w:r w:rsidRPr="002A71EE">
        <w:rPr>
          <w:rFonts w:eastAsiaTheme="minorEastAsia" w:hint="eastAsia"/>
          <w:b/>
          <w:lang w:eastAsia="zh-CN"/>
        </w:rPr>
        <w:t>P</w:t>
      </w:r>
      <w:r w:rsidRPr="002A71EE">
        <w:rPr>
          <w:rFonts w:eastAsiaTheme="minorEastAsia"/>
          <w:b/>
          <w:lang w:eastAsia="zh-CN"/>
        </w:rPr>
        <w:t>roposal 1: For the PC2 NTN, transmitter power including output power and MPR/A-MPR as well as the ACLR requirement need to be updated compared to PC3 NTN UE RF requirement.</w:t>
      </w:r>
    </w:p>
    <w:p w:rsidR="00F52939" w:rsidRPr="00F52939" w:rsidRDefault="00F52939" w:rsidP="00F52939">
      <w:pPr>
        <w:rPr>
          <w:rFonts w:eastAsiaTheme="minorEastAsia"/>
          <w:b/>
          <w:lang w:eastAsia="zh-CN"/>
        </w:rPr>
      </w:pPr>
      <w:r w:rsidRPr="00F52939">
        <w:rPr>
          <w:rFonts w:eastAsiaTheme="minorEastAsia" w:hint="eastAsia"/>
          <w:b/>
          <w:lang w:eastAsia="zh-CN"/>
        </w:rPr>
        <w:t>P</w:t>
      </w:r>
      <w:r w:rsidRPr="00F52939">
        <w:rPr>
          <w:rFonts w:eastAsiaTheme="minorEastAsia"/>
          <w:b/>
          <w:lang w:eastAsia="zh-CN"/>
        </w:rPr>
        <w:t>roposal 2: Further investigate the duty cycle method for regulation of NTN hand-held UE.</w:t>
      </w:r>
    </w:p>
    <w:p w:rsidR="003A046D" w:rsidRDefault="00986414">
      <w:pPr>
        <w:pStyle w:val="1"/>
      </w:pPr>
      <w:r>
        <w:t>4 References</w:t>
      </w:r>
    </w:p>
    <w:p w:rsidR="003A046D" w:rsidRPr="006426F4" w:rsidRDefault="00F017CF" w:rsidP="00B71244">
      <w:pPr>
        <w:spacing w:line="360" w:lineRule="auto"/>
        <w:rPr>
          <w:rFonts w:eastAsiaTheme="minorEastAsia"/>
          <w:lang w:val="en-US" w:eastAsia="zh-CN"/>
        </w:rPr>
      </w:pPr>
      <w:r>
        <w:rPr>
          <w:rFonts w:eastAsiaTheme="minorEastAsia"/>
          <w:lang w:val="en-US" w:eastAsia="zh-CN"/>
        </w:rPr>
        <w:t xml:space="preserve">[1] </w:t>
      </w:r>
      <w:r w:rsidR="00265891" w:rsidRPr="00835AD5">
        <w:rPr>
          <w:rFonts w:eastAsia="华文楷体"/>
          <w:szCs w:val="28"/>
        </w:rPr>
        <w:t>R</w:t>
      </w:r>
      <w:r w:rsidR="00916B37">
        <w:rPr>
          <w:rFonts w:eastAsia="华文楷体"/>
          <w:szCs w:val="28"/>
        </w:rPr>
        <w:t>P-2408</w:t>
      </w:r>
      <w:r w:rsidR="00F50DC1">
        <w:rPr>
          <w:rFonts w:eastAsia="华文楷体"/>
          <w:szCs w:val="28"/>
        </w:rPr>
        <w:t>33</w:t>
      </w:r>
      <w:r w:rsidR="00265891">
        <w:rPr>
          <w:rFonts w:eastAsia="华文楷体"/>
          <w:szCs w:val="28"/>
        </w:rPr>
        <w:tab/>
      </w:r>
      <w:r w:rsidR="00F50DC1" w:rsidRPr="00F50DC1">
        <w:rPr>
          <w:rFonts w:eastAsia="华文楷体"/>
          <w:szCs w:val="28"/>
        </w:rPr>
        <w:t>New WID: Enhanced requirements and test methodology for NR and IoT NTN</w:t>
      </w: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CA2" w:rsidRDefault="00917CA2" w:rsidP="006426F4">
      <w:pPr>
        <w:spacing w:after="0"/>
      </w:pPr>
      <w:r>
        <w:separator/>
      </w:r>
    </w:p>
  </w:endnote>
  <w:endnote w:type="continuationSeparator" w:id="0">
    <w:p w:rsidR="00917CA2" w:rsidRDefault="00917CA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CA2" w:rsidRDefault="00917CA2" w:rsidP="006426F4">
      <w:pPr>
        <w:spacing w:after="0"/>
      </w:pPr>
      <w:r>
        <w:separator/>
      </w:r>
    </w:p>
  </w:footnote>
  <w:footnote w:type="continuationSeparator" w:id="0">
    <w:p w:rsidR="00917CA2" w:rsidRDefault="00917CA2"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8"/>
  </w:num>
  <w:num w:numId="2">
    <w:abstractNumId w:val="0"/>
  </w:num>
  <w:num w:numId="3">
    <w:abstractNumId w:val="6"/>
  </w:num>
  <w:num w:numId="4">
    <w:abstractNumId w:val="4"/>
  </w:num>
  <w:num w:numId="5">
    <w:abstractNumId w:val="7"/>
  </w:num>
  <w:num w:numId="6">
    <w:abstractNumId w:val="5"/>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BE4"/>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12E2"/>
    <w:rsid w:val="00022105"/>
    <w:rsid w:val="00022E5A"/>
    <w:rsid w:val="00023ED8"/>
    <w:rsid w:val="0002431F"/>
    <w:rsid w:val="000253FF"/>
    <w:rsid w:val="00025DD6"/>
    <w:rsid w:val="00026565"/>
    <w:rsid w:val="0002776B"/>
    <w:rsid w:val="000303D3"/>
    <w:rsid w:val="00030BF5"/>
    <w:rsid w:val="00031542"/>
    <w:rsid w:val="0003340A"/>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5B5"/>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434"/>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FF"/>
    <w:rsid w:val="001B5464"/>
    <w:rsid w:val="001B624B"/>
    <w:rsid w:val="001B6E89"/>
    <w:rsid w:val="001B77F1"/>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572BC"/>
    <w:rsid w:val="00260547"/>
    <w:rsid w:val="00261678"/>
    <w:rsid w:val="00262339"/>
    <w:rsid w:val="00262B28"/>
    <w:rsid w:val="00262D41"/>
    <w:rsid w:val="002630E4"/>
    <w:rsid w:val="002631B4"/>
    <w:rsid w:val="00263E93"/>
    <w:rsid w:val="002641D9"/>
    <w:rsid w:val="00265891"/>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517B"/>
    <w:rsid w:val="00296176"/>
    <w:rsid w:val="002962F6"/>
    <w:rsid w:val="0029664A"/>
    <w:rsid w:val="002A156C"/>
    <w:rsid w:val="002A1A16"/>
    <w:rsid w:val="002A416C"/>
    <w:rsid w:val="002A4324"/>
    <w:rsid w:val="002A6B92"/>
    <w:rsid w:val="002A6E97"/>
    <w:rsid w:val="002A71EE"/>
    <w:rsid w:val="002A77B0"/>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0B6"/>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915"/>
    <w:rsid w:val="00410366"/>
    <w:rsid w:val="00411192"/>
    <w:rsid w:val="00412084"/>
    <w:rsid w:val="004132E2"/>
    <w:rsid w:val="00413FF3"/>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45F2"/>
    <w:rsid w:val="00534A38"/>
    <w:rsid w:val="00535CC4"/>
    <w:rsid w:val="00535F75"/>
    <w:rsid w:val="005363E0"/>
    <w:rsid w:val="005364EB"/>
    <w:rsid w:val="005367EF"/>
    <w:rsid w:val="00537432"/>
    <w:rsid w:val="00540D34"/>
    <w:rsid w:val="005430B8"/>
    <w:rsid w:val="00545150"/>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CFE"/>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7A3"/>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50CF"/>
    <w:rsid w:val="009060E2"/>
    <w:rsid w:val="00907701"/>
    <w:rsid w:val="00911249"/>
    <w:rsid w:val="00912B72"/>
    <w:rsid w:val="00912DCE"/>
    <w:rsid w:val="00913659"/>
    <w:rsid w:val="00913A4E"/>
    <w:rsid w:val="0091423D"/>
    <w:rsid w:val="00916735"/>
    <w:rsid w:val="00916B37"/>
    <w:rsid w:val="00917AE9"/>
    <w:rsid w:val="00917CA2"/>
    <w:rsid w:val="009215C2"/>
    <w:rsid w:val="009219F7"/>
    <w:rsid w:val="00922E4A"/>
    <w:rsid w:val="00924A28"/>
    <w:rsid w:val="00924C8D"/>
    <w:rsid w:val="0092638C"/>
    <w:rsid w:val="0092698F"/>
    <w:rsid w:val="00927B26"/>
    <w:rsid w:val="009312CD"/>
    <w:rsid w:val="00931B7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3E61"/>
    <w:rsid w:val="00975365"/>
    <w:rsid w:val="00975A49"/>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3D70"/>
    <w:rsid w:val="009B4314"/>
    <w:rsid w:val="009B441E"/>
    <w:rsid w:val="009B4F76"/>
    <w:rsid w:val="009B5461"/>
    <w:rsid w:val="009B5526"/>
    <w:rsid w:val="009B5D28"/>
    <w:rsid w:val="009B791A"/>
    <w:rsid w:val="009C1DDD"/>
    <w:rsid w:val="009C28AB"/>
    <w:rsid w:val="009C2B12"/>
    <w:rsid w:val="009C44C4"/>
    <w:rsid w:val="009C55A7"/>
    <w:rsid w:val="009C56A3"/>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19A"/>
    <w:rsid w:val="00B35270"/>
    <w:rsid w:val="00B35466"/>
    <w:rsid w:val="00B35FF4"/>
    <w:rsid w:val="00B37212"/>
    <w:rsid w:val="00B37238"/>
    <w:rsid w:val="00B3762E"/>
    <w:rsid w:val="00B37E3F"/>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C8D"/>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638"/>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260"/>
    <w:rsid w:val="00DD65D8"/>
    <w:rsid w:val="00DD757F"/>
    <w:rsid w:val="00DE0A44"/>
    <w:rsid w:val="00DE18AF"/>
    <w:rsid w:val="00DE1E34"/>
    <w:rsid w:val="00DE273B"/>
    <w:rsid w:val="00DE43A5"/>
    <w:rsid w:val="00DE5AC2"/>
    <w:rsid w:val="00DE5BE7"/>
    <w:rsid w:val="00DE673B"/>
    <w:rsid w:val="00DE7AD9"/>
    <w:rsid w:val="00DF0266"/>
    <w:rsid w:val="00DF1565"/>
    <w:rsid w:val="00DF15C4"/>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0DC1"/>
    <w:rsid w:val="00F5196F"/>
    <w:rsid w:val="00F52939"/>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F050B5B"/>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9535011-1F80-47AE-8D5D-9A770C384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2</Pages>
  <Words>361</Words>
  <Characters>2062</Characters>
  <Application>Microsoft Office Word</Application>
  <DocSecurity>0</DocSecurity>
  <Lines>17</Lines>
  <Paragraphs>4</Paragraphs>
  <ScaleCrop>false</ScaleCrop>
  <Company>Spirent Communications</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87</cp:revision>
  <cp:lastPrinted>2019-08-07T05:09:00Z</cp:lastPrinted>
  <dcterms:created xsi:type="dcterms:W3CDTF">2023-07-21T10:04:00Z</dcterms:created>
  <dcterms:modified xsi:type="dcterms:W3CDTF">2024-08-09T12:36:00Z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